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pPr>
      <w:r>
        <w:t>ARRIVE checklist</w:t>
      </w:r>
    </w:p>
    <w:p>
      <w:pPr>
        <w:spacing w:line="360" w:lineRule="auto"/>
        <w:jc w:val="left"/>
        <w:rPr>
          <w:b/>
          <w:bCs/>
        </w:rPr>
      </w:pPr>
      <w:r>
        <w:rPr>
          <w:b/>
          <w:bCs/>
        </w:rPr>
        <w:t xml:space="preserve">Title </w:t>
      </w:r>
    </w:p>
    <w:p>
      <w:pPr>
        <w:spacing w:line="360" w:lineRule="auto"/>
      </w:pPr>
      <w:r>
        <w:t xml:space="preserve">Feed value of </w:t>
      </w:r>
      <w:r>
        <w:rPr>
          <w:rFonts w:hint="eastAsia"/>
        </w:rPr>
        <w:t>corn stover</w:t>
      </w:r>
      <w:r>
        <w:rPr>
          <w:rFonts w:hint="eastAsia"/>
          <w:lang w:eastAsia="ja-JP"/>
        </w:rPr>
        <w:t>and</w:t>
      </w:r>
      <w:r>
        <w:rPr>
          <w:rFonts w:hint="eastAsia"/>
        </w:rPr>
        <w:t xml:space="preserve"> c</w:t>
      </w:r>
      <w:r>
        <w:t>aragana</w:t>
      </w:r>
    </w:p>
    <w:p>
      <w:pPr>
        <w:spacing w:line="360" w:lineRule="auto"/>
        <w:jc w:val="left"/>
        <w:rPr>
          <w:b/>
          <w:bCs/>
        </w:rPr>
      </w:pPr>
      <w:r>
        <w:rPr>
          <w:b/>
          <w:bCs/>
        </w:rPr>
        <w:t xml:space="preserve">Abstract </w:t>
      </w:r>
    </w:p>
    <w:p>
      <w:pPr>
        <w:spacing w:line="360" w:lineRule="auto"/>
        <w:jc w:val="left"/>
        <w:rPr>
          <w:b/>
          <w:bCs/>
        </w:rPr>
      </w:pPr>
      <w:r>
        <w:rPr>
          <w:rFonts w:hint="eastAsia"/>
          <w:b/>
          <w:bCs/>
        </w:rPr>
        <w:t>Background</w:t>
      </w:r>
    </w:p>
    <w:p>
      <w:pPr>
        <w:spacing w:line="360" w:lineRule="auto"/>
      </w:pPr>
      <w:r>
        <w:t xml:space="preserve">To effectively use local available feed resources to address the problem of animal feed shortage in winter, </w:t>
      </w:r>
      <w:r>
        <w:rPr>
          <w:rFonts w:eastAsia="ComputerModern-Regular"/>
          <w:lang w:eastAsia="en-US"/>
        </w:rPr>
        <w:t xml:space="preserve">the </w:t>
      </w:r>
      <w:r>
        <w:rPr>
          <w:rFonts w:hint="eastAsia" w:eastAsia="ComputerModern-Regular"/>
          <w:lang w:eastAsia="en-US"/>
        </w:rPr>
        <w:t>i</w:t>
      </w:r>
      <w:r>
        <w:rPr>
          <w:rFonts w:eastAsia="ComputerModern-Regular"/>
          <w:lang w:eastAsia="en-US"/>
        </w:rPr>
        <w:t>ntake, r</w:t>
      </w:r>
      <w:r>
        <w:rPr>
          <w:rFonts w:hint="eastAsia" w:eastAsia="ComputerModern-Regular"/>
          <w:lang w:eastAsia="en-US"/>
        </w:rPr>
        <w:t>umen fermentation</w:t>
      </w:r>
      <w:r>
        <w:rPr>
          <w:rFonts w:eastAsia="ComputerModern-Regular"/>
          <w:lang w:eastAsia="en-US"/>
        </w:rPr>
        <w:t xml:space="preserve"> and apparent digestibility</w:t>
      </w:r>
      <w:r>
        <w:rPr>
          <w:rFonts w:hint="eastAsia" w:eastAsia="ComputerModern-Regular"/>
          <w:lang w:eastAsia="en-US"/>
        </w:rPr>
        <w:t xml:space="preserve"> of </w:t>
      </w:r>
      <w:r>
        <w:rPr>
          <w:rFonts w:eastAsia="ComputerModern-Regular"/>
          <w:lang w:eastAsia="en-US"/>
        </w:rPr>
        <w:t>Aerbasi cashmere goats</w:t>
      </w:r>
      <w:r>
        <w:rPr>
          <w:rFonts w:hint="eastAsia" w:eastAsia="ComputerModern-Regular"/>
          <w:lang w:eastAsia="en-US"/>
        </w:rPr>
        <w:t xml:space="preserve"> fed corn stover</w:t>
      </w:r>
      <w:r>
        <w:rPr>
          <w:rFonts w:eastAsia="ComputerModern-Regular"/>
          <w:lang w:eastAsia="en-US"/>
        </w:rPr>
        <w:t xml:space="preserve"> (CS)</w:t>
      </w:r>
      <w:r>
        <w:rPr>
          <w:rFonts w:hint="eastAsia" w:eastAsia="ComputerModern-Regular"/>
          <w:lang w:eastAsia="en-US"/>
        </w:rPr>
        <w:t>, c</w:t>
      </w:r>
      <w:r>
        <w:rPr>
          <w:rFonts w:eastAsia="ComputerModern-Regular"/>
          <w:lang w:eastAsia="en-US"/>
        </w:rPr>
        <w:t xml:space="preserve">aragana </w:t>
      </w:r>
      <w:r>
        <w:t>(CA)</w:t>
      </w:r>
      <w:r>
        <w:rPr>
          <w:rFonts w:hint="eastAsia"/>
        </w:rPr>
        <w:t xml:space="preserve"> and </w:t>
      </w:r>
      <w:r>
        <w:t>their</w:t>
      </w:r>
      <w:r>
        <w:rPr>
          <w:rFonts w:hint="eastAsia"/>
        </w:rPr>
        <w:t xml:space="preserve"> mixture</w:t>
      </w:r>
      <w:r>
        <w:t xml:space="preserve"> were studied on </w:t>
      </w:r>
      <w:r>
        <w:rPr>
          <w:lang w:val="en-GB"/>
        </w:rPr>
        <w:t>Mongolian plateau</w:t>
      </w:r>
      <w:r>
        <w:t>.</w:t>
      </w:r>
    </w:p>
    <w:p>
      <w:pPr>
        <w:spacing w:line="360" w:lineRule="auto"/>
        <w:jc w:val="left"/>
        <w:rPr>
          <w:b/>
          <w:bCs/>
          <w:lang w:eastAsia="ja-JP"/>
        </w:rPr>
      </w:pPr>
      <w:r>
        <w:rPr>
          <w:b/>
          <w:bCs/>
          <w:lang w:eastAsia="ja-JP"/>
        </w:rPr>
        <w:t>Results</w:t>
      </w:r>
    </w:p>
    <w:p>
      <w:pPr>
        <w:spacing w:line="360" w:lineRule="auto"/>
        <w:rPr>
          <w:kern w:val="0"/>
        </w:rPr>
      </w:pPr>
      <w:r>
        <w:t xml:space="preserve">Sixty healthy Aerbasi cashmere goats(BW30 ± 2.35 kg)were used in this experiment and the diet were assigned randomly to one of 5 groups (12 sheep/group) in a completely randomized design. The basal diets contain same ratio of concentrate and premix,but different mixing ratio of dry CS and CA. The treatments were designed as </w:t>
      </w:r>
      <w:r>
        <w:rPr>
          <w:lang w:val="en-GB"/>
        </w:rPr>
        <w:t>CS, CA, CS 80% + CA 20% (MT</w:t>
      </w:r>
      <w:r>
        <w:rPr>
          <w:rFonts w:eastAsia="游明朝"/>
          <w:lang w:val="en-GB" w:eastAsia="ja-JP"/>
        </w:rPr>
        <w:t>1</w:t>
      </w:r>
      <w:r>
        <w:rPr>
          <w:lang w:val="en-GB"/>
        </w:rPr>
        <w:t>), CS 50% + CA 50% (MT2), and CS 20% + CA 80% (MT3).</w:t>
      </w:r>
      <w:r>
        <w:rPr>
          <w:kern w:val="0"/>
        </w:rPr>
        <w:t>Statistical analyses of chemical composition</w:t>
      </w:r>
      <w:r>
        <w:rPr>
          <w:rFonts w:hint="eastAsia"/>
          <w:kern w:val="0"/>
        </w:rPr>
        <w:t>,i</w:t>
      </w:r>
      <w:r>
        <w:rPr>
          <w:rFonts w:hint="eastAsia"/>
        </w:rPr>
        <w:t>ntake</w:t>
      </w:r>
      <w:r>
        <w:rPr>
          <w:rFonts w:hint="eastAsia" w:eastAsia="黑体"/>
        </w:rPr>
        <w:t>, a</w:t>
      </w:r>
      <w:r>
        <w:rPr>
          <w:rFonts w:eastAsia="黑体"/>
        </w:rPr>
        <w:t>pparent digestibility</w:t>
      </w:r>
      <w:r>
        <w:rPr>
          <w:rFonts w:hint="eastAsia" w:eastAsia="黑体"/>
        </w:rPr>
        <w:t>,</w:t>
      </w:r>
      <w:r>
        <w:rPr>
          <w:rFonts w:hint="eastAsia"/>
        </w:rPr>
        <w:t>p</w:t>
      </w:r>
      <w:r>
        <w:t>article size distribution</w:t>
      </w:r>
      <w:r>
        <w:rPr>
          <w:rFonts w:hint="eastAsia"/>
          <w:kern w:val="0"/>
        </w:rPr>
        <w:t xml:space="preserve">and </w:t>
      </w:r>
      <w:r>
        <w:rPr>
          <w:kern w:val="0"/>
        </w:rPr>
        <w:t>fermentation were performed by one-way ANOVA using the general linear model (GLM) procedure of SAS version 9.</w:t>
      </w:r>
      <w:r>
        <w:rPr>
          <w:rFonts w:hint="eastAsia"/>
          <w:kern w:val="0"/>
        </w:rPr>
        <w:t>1</w:t>
      </w:r>
      <w:r>
        <w:rPr>
          <w:kern w:val="0"/>
        </w:rPr>
        <w:t>.</w:t>
      </w:r>
    </w:p>
    <w:p>
      <w:pPr>
        <w:spacing w:line="360" w:lineRule="auto"/>
        <w:rPr>
          <w:lang w:val="en-GB"/>
        </w:rPr>
      </w:pPr>
      <w:r>
        <w:rPr>
          <w:color w:val="000000"/>
          <w:lang w:val="en-GB"/>
        </w:rPr>
        <w:t xml:space="preserve">With an increased mixing ratio of CA, intake of DM, NDF, and </w:t>
      </w:r>
      <w:r>
        <w:rPr>
          <w:rFonts w:hint="eastAsia"/>
          <w:color w:val="000000"/>
          <w:lang w:val="en-GB"/>
        </w:rPr>
        <w:t xml:space="preserve">half </w:t>
      </w:r>
      <w:r>
        <w:rPr>
          <w:color w:val="000000"/>
          <w:lang w:val="en-GB"/>
        </w:rPr>
        <w:t>cellulose was decreased (</w:t>
      </w:r>
      <w:r>
        <w:rPr>
          <w:i/>
          <w:color w:val="000000"/>
          <w:lang w:val="en-GB"/>
        </w:rPr>
        <w:t>P</w:t>
      </w:r>
      <w:r>
        <w:rPr>
          <w:color w:val="000000"/>
          <w:lang w:val="en-GB"/>
        </w:rPr>
        <w:t>&lt;0.05). Meanwhile intake of CP, ADF, and acid detergent lignin (ADL) was increased (</w:t>
      </w:r>
      <w:r>
        <w:rPr>
          <w:i/>
          <w:color w:val="000000"/>
          <w:lang w:val="en-GB"/>
        </w:rPr>
        <w:t>P</w:t>
      </w:r>
      <w:r>
        <w:rPr>
          <w:color w:val="000000"/>
          <w:lang w:val="en-GB"/>
        </w:rPr>
        <w:t>&lt;0.05).</w:t>
      </w:r>
      <w:r>
        <w:rPr>
          <w:rFonts w:eastAsia="黑体"/>
          <w:color w:val="000000"/>
          <w:lang w:val="en-GB"/>
        </w:rPr>
        <w:t xml:space="preserve"> The apparent </w:t>
      </w:r>
      <w:r>
        <w:rPr>
          <w:color w:val="000000"/>
          <w:lang w:val="en-GB"/>
        </w:rPr>
        <w:t>digestibility of DM, organic matter (OM), and NDF in the CS treatment was higher (</w:t>
      </w:r>
      <w:r>
        <w:rPr>
          <w:i/>
          <w:color w:val="000000"/>
          <w:lang w:val="en-GB"/>
        </w:rPr>
        <w:t>P</w:t>
      </w:r>
      <w:r>
        <w:rPr>
          <w:color w:val="000000"/>
          <w:lang w:val="en-GB"/>
        </w:rPr>
        <w:t>&lt;0.05) than in the other treatments. Compared to the CS treatment, the proportion of particles ≤ 0.1 mm in size was significantly (</w:t>
      </w:r>
      <w:r>
        <w:rPr>
          <w:i/>
          <w:color w:val="000000"/>
          <w:lang w:val="en-GB"/>
        </w:rPr>
        <w:t>P</w:t>
      </w:r>
      <w:r>
        <w:rPr>
          <w:color w:val="000000"/>
          <w:lang w:val="en-GB"/>
        </w:rPr>
        <w:t>&lt;0.05) higher in the CA treatment, but this was not the case for particles &gt; 5.0 mm. With an increased mixing ratio of CA, the proportions of 0.5–1.0 and 1.0–5.0 mm particles decreased (</w:t>
      </w:r>
      <w:r>
        <w:rPr>
          <w:i/>
          <w:color w:val="000000"/>
          <w:lang w:val="en-GB"/>
        </w:rPr>
        <w:t>P</w:t>
      </w:r>
      <w:r>
        <w:rPr>
          <w:color w:val="000000"/>
          <w:lang w:val="en-GB"/>
        </w:rPr>
        <w:t xml:space="preserve">&lt;0.05), but the proportion of &gt; 5.0 mm particles did not. Meanwhile, the proportions of </w:t>
      </w:r>
      <w:r>
        <w:rPr>
          <w:color w:val="000000"/>
          <w:kern w:val="0"/>
        </w:rPr>
        <w:t>≤</w:t>
      </w:r>
      <w:r>
        <w:rPr>
          <w:color w:val="000000"/>
          <w:lang w:val="en-GB"/>
        </w:rPr>
        <w:t xml:space="preserve"> 0.1 and 0.1–0.5 mm particles increased (</w:t>
      </w:r>
      <w:r>
        <w:rPr>
          <w:i/>
          <w:color w:val="000000"/>
          <w:lang w:val="en-GB"/>
        </w:rPr>
        <w:t>P</w:t>
      </w:r>
      <w:r>
        <w:rPr>
          <w:color w:val="000000"/>
          <w:lang w:val="en-GB"/>
        </w:rPr>
        <w:t>&lt;0.05).</w:t>
      </w:r>
    </w:p>
    <w:p>
      <w:pPr>
        <w:spacing w:line="360" w:lineRule="auto"/>
        <w:jc w:val="left"/>
        <w:rPr>
          <w:b/>
          <w:bCs/>
        </w:rPr>
      </w:pPr>
      <w:r>
        <w:rPr>
          <w:b/>
          <w:bCs/>
        </w:rPr>
        <w:t>Conclusion:</w:t>
      </w:r>
    </w:p>
    <w:p>
      <w:pPr>
        <w:adjustRightInd w:val="0"/>
        <w:snapToGrid w:val="0"/>
        <w:spacing w:line="360" w:lineRule="auto"/>
        <w:ind w:right="-118" w:rightChars="-49"/>
      </w:pPr>
      <w:r>
        <w:t>The results confirm that caragana and corn stover can be used as animal feed and their mix ration of 4 to 1</w:t>
      </w:r>
      <w:r>
        <w:rPr>
          <w:color w:val="000000"/>
          <w:lang w:val="en-GB"/>
        </w:rPr>
        <w:t xml:space="preserve">has a good mix ratio for goat feed, based on the DM </w:t>
      </w:r>
      <w:r>
        <w:rPr>
          <w:rStyle w:val="12"/>
          <w:color w:val="000000"/>
          <w:lang w:val="en-GB"/>
        </w:rPr>
        <w:t>intake, apparent digestibility</w:t>
      </w:r>
      <w:r>
        <w:rPr>
          <w:color w:val="000000"/>
          <w:lang w:val="en-GB"/>
        </w:rPr>
        <w:t xml:space="preserve"> and VFA contents, and proportion of particles &gt; 1.0 mm in size.</w:t>
      </w:r>
      <w:r>
        <w:t>.</w:t>
      </w:r>
    </w:p>
    <w:p>
      <w:pPr>
        <w:spacing w:line="360" w:lineRule="auto"/>
        <w:jc w:val="left"/>
        <w:rPr>
          <w:b/>
          <w:bCs/>
        </w:rPr>
      </w:pPr>
      <w:r>
        <w:rPr>
          <w:b/>
          <w:bCs/>
        </w:rPr>
        <w:t xml:space="preserve">INTRODUCTION </w:t>
      </w:r>
    </w:p>
    <w:p>
      <w:pPr>
        <w:spacing w:line="360" w:lineRule="auto"/>
        <w:jc w:val="left"/>
        <w:rPr>
          <w:b/>
          <w:bCs/>
        </w:rPr>
      </w:pPr>
      <w:r>
        <w:rPr>
          <w:b/>
          <w:bCs/>
        </w:rPr>
        <w:t xml:space="preserve">Background </w:t>
      </w:r>
    </w:p>
    <w:p>
      <w:pPr>
        <w:spacing w:line="360" w:lineRule="auto"/>
        <w:rPr>
          <w:color w:val="000000"/>
          <w:lang w:val="en-GB"/>
        </w:rPr>
      </w:pPr>
      <w:r>
        <w:rPr>
          <w:color w:val="000000"/>
          <w:lang w:val="en-GB"/>
        </w:rPr>
        <w:t xml:space="preserve">The Inner Mongolian plateau, located in North China, has an average altitude of &gt; 1,000 m, and is as one of the highest areas in China with a low winter temperature . The dry continental climate is characterised by an annual rainfall of approximately 8 inches (200 mm) and the mean temperatures during the warmest and coldest months vary over an enormous range. Traditionally, the people living in the Inner Mongolian plateau region were nomadic and principally engaged in raising sheep and goats; however, extensive livestock farms were developed in the 20th century . Although the harsh climate restricts the agricultural and animal industry, in irrigated areas, corn and other crops can be grown on the plateau. </w:t>
      </w:r>
    </w:p>
    <w:p>
      <w:pPr>
        <w:spacing w:line="360" w:lineRule="auto"/>
        <w:ind w:firstLine="360" w:firstLineChars="150"/>
        <w:rPr>
          <w:color w:val="000000"/>
          <w:lang w:val="en-GB"/>
        </w:rPr>
      </w:pPr>
      <w:r>
        <w:rPr>
          <w:color w:val="000000"/>
          <w:lang w:val="en-GB"/>
        </w:rPr>
        <w:t xml:space="preserve">The major constraint on raising dairy on the plateau is poor livestock feed quality and quantity, especially during the winter season. The main feed resources for goats are hay, made from native grasses, and by-products from agriculture. Animals fed on low-quality roughage show low production; this is a problem for both the </w:t>
      </w:r>
      <w:r>
        <w:rPr>
          <w:rStyle w:val="13"/>
          <w:color w:val="000000"/>
          <w:lang w:val="en-GB"/>
        </w:rPr>
        <w:t>livestock industry</w:t>
      </w:r>
      <w:r>
        <w:rPr>
          <w:color w:val="000000"/>
          <w:lang w:val="en-GB"/>
        </w:rPr>
        <w:t xml:space="preserve"> and the local economy. In general, cashmere goats feed extensively during the summer, showing relative fatness and thinness during the autumn and winter, respectively, and physical weakness during the spring. To improve the livestock production system, to cover the animal feed shortage during the winter season, technologies exploiting locally available resources have been developed. These include determining the adaptability of </w:t>
      </w:r>
      <w:r>
        <w:rPr>
          <w:rStyle w:val="13"/>
          <w:color w:val="000000"/>
          <w:lang w:val="en-GB"/>
        </w:rPr>
        <w:t>crop residues and legume shrubs</w:t>
      </w:r>
      <w:r>
        <w:rPr>
          <w:color w:val="000000"/>
          <w:lang w:val="en-GB"/>
        </w:rPr>
        <w:t xml:space="preserve"> to various conditions, and exploring their nutritional value and potential productivity . </w:t>
      </w:r>
    </w:p>
    <w:p>
      <w:pPr>
        <w:spacing w:line="360" w:lineRule="auto"/>
        <w:ind w:firstLine="360" w:firstLineChars="150"/>
        <w:rPr>
          <w:color w:val="000000"/>
          <w:lang w:val="en-GB"/>
        </w:rPr>
      </w:pPr>
      <w:r>
        <w:rPr>
          <w:color w:val="000000"/>
          <w:lang w:val="en-GB"/>
        </w:rPr>
        <w:t>Corn (</w:t>
      </w:r>
      <w:r>
        <w:rPr>
          <w:i/>
          <w:color w:val="000000"/>
          <w:lang w:val="en-GB"/>
        </w:rPr>
        <w:t>Zea mays</w:t>
      </w:r>
      <w:r>
        <w:rPr>
          <w:color w:val="000000"/>
          <w:lang w:val="en-GB"/>
        </w:rPr>
        <w:t xml:space="preserve"> L.) stover </w:t>
      </w:r>
      <w:r>
        <w:rPr>
          <w:rFonts w:eastAsia="游明朝"/>
          <w:color w:val="000000"/>
          <w:lang w:val="en-GB" w:eastAsia="ja-JP"/>
        </w:rPr>
        <w:t>(</w:t>
      </w:r>
      <w:r>
        <w:rPr>
          <w:color w:val="000000"/>
          <w:lang w:val="en-GB"/>
        </w:rPr>
        <w:t xml:space="preserve">CS) is a locally available crop by-product that is widely used for cattle, sheep, and goat feed, at a lower cost than traditional animal feed . When corn is harvested for grain, 40–50% of the dry matter (DM) of the corn plant remains in the field, including the leaves, stalks, husks, and cobs. After field exposure, the dry stover are collected and preserved for use as roughage for livestock. The use of CS as an animal feed has proven to be economically viable, not only as a way of disposing of CS residues but also as an alternative for feeding livestock in regions where corn is the main crop </w:t>
      </w:r>
      <w:r>
        <w:rPr>
          <w:rFonts w:eastAsia="GulliverRM"/>
          <w:color w:val="000000"/>
          <w:lang w:val="en-GB"/>
        </w:rPr>
        <w:t xml:space="preserve">. </w:t>
      </w:r>
      <w:r>
        <w:rPr>
          <w:color w:val="000000"/>
          <w:lang w:val="en-GB"/>
        </w:rPr>
        <w:t>At present, CS is the major forage crop in goat dietary regimes in China, and it has the potential to provide more support to animal production systems than conventional forage crops in areas with high corn production .</w:t>
      </w:r>
    </w:p>
    <w:p>
      <w:pPr>
        <w:spacing w:line="360" w:lineRule="auto"/>
        <w:ind w:firstLine="360" w:firstLineChars="150"/>
        <w:rPr>
          <w:color w:val="000000"/>
          <w:lang w:val="en-GB"/>
        </w:rPr>
      </w:pPr>
      <w:r>
        <w:rPr>
          <w:color w:val="000000"/>
          <w:lang w:val="en-GB"/>
        </w:rPr>
        <w:t>Caragana (</w:t>
      </w:r>
      <w:r>
        <w:rPr>
          <w:rStyle w:val="8"/>
          <w:b w:val="0"/>
          <w:i/>
          <w:color w:val="000000"/>
          <w:lang w:val="en-GB"/>
        </w:rPr>
        <w:t>Caragana</w:t>
      </w:r>
      <w:r>
        <w:rPr>
          <w:i/>
          <w:iCs/>
          <w:color w:val="000000"/>
          <w:lang w:val="en-GB"/>
        </w:rPr>
        <w:t xml:space="preserve"> arborescens </w:t>
      </w:r>
      <w:r>
        <w:rPr>
          <w:iCs/>
          <w:color w:val="000000"/>
          <w:lang w:val="en-GB"/>
        </w:rPr>
        <w:t>Lam.; CA</w:t>
      </w:r>
      <w:r>
        <w:rPr>
          <w:rStyle w:val="14"/>
          <w:color w:val="000000"/>
          <w:lang w:val="en-GB"/>
        </w:rPr>
        <w:t>)</w:t>
      </w:r>
      <w:r>
        <w:rPr>
          <w:color w:val="000000"/>
          <w:lang w:val="en-GB"/>
        </w:rPr>
        <w:t xml:space="preserve"> is a common shrub located in arid and semiarid areas of North China, and widely distributed in Inner Mongolia . Most previous studies on CA were concerned with its biological taxonomy, genetic diversity, and ecological value; very few studies have assessed its potential applications . In recently years, large quantities of CA were planted as forage crops in Inner Mongolia, due to its high DM yield and CP content . Generally, local farms collect and store CA in the autumn, and mix it with CS for livestock feed during the winter. The nutritional value of CA can compensate for any shortage of CS, and their mixture can be used as a uniquely valuable feed. </w:t>
      </w:r>
    </w:p>
    <w:p>
      <w:pPr>
        <w:spacing w:line="360" w:lineRule="auto"/>
        <w:ind w:firstLine="360" w:firstLineChars="150"/>
        <w:rPr>
          <w:color w:val="000000"/>
          <w:lang w:val="en-GB"/>
        </w:rPr>
      </w:pPr>
      <w:r>
        <w:rPr>
          <w:color w:val="000000"/>
          <w:lang w:val="en-GB"/>
        </w:rPr>
        <w:t xml:space="preserve">CS and CA are believed to be important locally available feed sources, which can be preserved to help farmers feed their livestock throughout the winter. In general, fresh </w:t>
      </w:r>
      <w:r>
        <w:rPr>
          <w:rFonts w:eastAsia="游明朝"/>
          <w:color w:val="000000"/>
          <w:lang w:val="en-GB" w:eastAsia="ja-JP"/>
        </w:rPr>
        <w:t xml:space="preserve">CS </w:t>
      </w:r>
      <w:r>
        <w:rPr>
          <w:color w:val="000000"/>
          <w:lang w:val="en-GB"/>
        </w:rPr>
        <w:t>and silage can be used for animal feed, since they contain appropriate quantities of nutrients. However, due to a scarcity of winter feed, large amounts of dry CS or CA are currently being fed to sheep and goats in local farms on the Inner Mongolian plateau. When the CS is exposed in the field for a long period, it results in low-quality yields with decreased CP content and poor digestibility. In pastoral areas of grassland, there is a shortage of pasture resources. Therefore, it is particularly important to feed cashmere goats at this location. The energy value of the feed directly affects the digestion of nutrients by the animals. In particular, protein energy is a measure of diet quality . Caragana is abundant on the Inner Mongolian plateau and has a high CP content, which is an important indicator of its nutritional status. Local cashmere goats are not productive during the winter, a season in which local farmers can only use dry CS to meet the basic energy requirements of cashmere goats. To improve the nutrient content of CS, local farmers collect CA in the late autumn, and then mix it with CS as a feed supply for livestock during the winter. In general, the feed mixing ratios used by farms are as follows: CS 80% + CA 20%, CS 50% + CA 50%, and CS 20% + CA 80%. As such, the same ratios were used in this study.</w:t>
      </w:r>
    </w:p>
    <w:p>
      <w:pPr>
        <w:spacing w:line="360" w:lineRule="auto"/>
        <w:jc w:val="left"/>
        <w:rPr>
          <w:b/>
          <w:bCs/>
        </w:rPr>
      </w:pPr>
      <w:r>
        <w:rPr>
          <w:b/>
          <w:bCs/>
        </w:rPr>
        <w:t xml:space="preserve">Objectives </w:t>
      </w:r>
    </w:p>
    <w:p>
      <w:pPr>
        <w:spacing w:line="360" w:lineRule="auto"/>
        <w:ind w:firstLine="360" w:firstLineChars="150"/>
        <w:rPr>
          <w:color w:val="000000"/>
          <w:lang w:val="en-GB"/>
        </w:rPr>
      </w:pPr>
      <w:r>
        <w:rPr>
          <w:color w:val="000000"/>
          <w:lang w:val="en-GB"/>
        </w:rPr>
        <w:t>However, to our knowledge, limited information is available on the optimal ratio of CA to CS for promoting growth of goats during the winter. Therefore, the objective of this research is to determine the optimum CS:CA ratio for promoting sheep and goat production in the Inner Mongolian plateau, by adding CA to CS in varying proportions. Further objectives were to determine the effects of the feed on the intake amounts, rumen fermentation, and apparent digestibility of Aerbasi cashmere goats.</w:t>
      </w:r>
    </w:p>
    <w:p>
      <w:pPr>
        <w:spacing w:line="360" w:lineRule="auto"/>
        <w:jc w:val="left"/>
        <w:rPr>
          <w:b/>
          <w:bCs/>
        </w:rPr>
      </w:pPr>
      <w:r>
        <w:rPr>
          <w:b/>
          <w:bCs/>
        </w:rPr>
        <w:t xml:space="preserve">METHODS </w:t>
      </w:r>
    </w:p>
    <w:p>
      <w:pPr>
        <w:spacing w:line="360" w:lineRule="auto"/>
        <w:jc w:val="left"/>
        <w:rPr>
          <w:b/>
          <w:bCs/>
        </w:rPr>
      </w:pPr>
      <w:r>
        <w:rPr>
          <w:b/>
          <w:bCs/>
        </w:rPr>
        <w:t xml:space="preserve">Ethical statement </w:t>
      </w:r>
    </w:p>
    <w:p>
      <w:pPr>
        <w:pStyle w:val="4"/>
        <w:widowControl/>
        <w:spacing w:line="360" w:lineRule="auto"/>
        <w:jc w:val="both"/>
        <w:rPr>
          <w:rFonts w:ascii="Times New Roman" w:hAnsi="Times New Roman" w:eastAsia="OneGulliver-ItalicA"/>
          <w:color w:val="000000"/>
          <w:kern w:val="2"/>
          <w:lang w:eastAsia="en-US"/>
        </w:rPr>
      </w:pPr>
      <w:r>
        <w:rPr>
          <w:rFonts w:ascii="Times New Roman" w:hAnsi="Times New Roman" w:eastAsia="OneGulliver-ItalicA"/>
          <w:color w:val="000000"/>
          <w:kern w:val="2"/>
          <w:lang w:eastAsia="en-US"/>
        </w:rPr>
        <w:t>This is to certify that the paper entitled Intake, rumen fermentation and apparent digestibility of Aerbasi cashmere goats fed corn stover, caragana and their mixture on the Mongolian plateau (BVET-D-19-00723R1) was approved by Inner Mongolia Agricultural University Animal Ethics Committee(12150000460029509N).</w:t>
      </w:r>
    </w:p>
    <w:p>
      <w:pPr>
        <w:pStyle w:val="4"/>
        <w:widowControl/>
        <w:spacing w:line="360" w:lineRule="auto"/>
        <w:jc w:val="both"/>
        <w:rPr>
          <w:rFonts w:ascii="Times New Roman" w:hAnsi="Times New Roman" w:eastAsia="OneGulliver-ItalicA"/>
          <w:color w:val="000000"/>
          <w:kern w:val="2"/>
          <w:lang w:eastAsia="en-US"/>
        </w:rPr>
      </w:pPr>
      <w:r>
        <w:rPr>
          <w:rFonts w:ascii="Times New Roman" w:hAnsi="Times New Roman" w:eastAsia="OneGulliver-ItalicA"/>
          <w:color w:val="000000"/>
          <w:kern w:val="2"/>
          <w:lang w:eastAsia="en-US"/>
        </w:rPr>
        <w:t>In this paper, animal varieties, animal sources, weight, the feeding environment, gender, feeding method, animal number, animal health condition, treatment method of experimental animals conform to relative rules of animal welfare.</w:t>
      </w:r>
    </w:p>
    <w:p>
      <w:pPr>
        <w:pStyle w:val="5"/>
        <w:spacing w:line="360" w:lineRule="auto"/>
        <w:ind w:firstLine="0"/>
        <w:jc w:val="both"/>
      </w:pPr>
      <w:r>
        <w:rPr>
          <w:rFonts w:eastAsia="OneGulliver-ItalicA"/>
          <w:color w:val="000000"/>
        </w:rPr>
        <w:t xml:space="preserve">The experiment was </w:t>
      </w:r>
      <w:r>
        <w:rPr>
          <w:rFonts w:hint="eastAsia" w:eastAsia="OneGulliver-ItalicA"/>
          <w:color w:val="000000"/>
          <w:lang w:val="en-US" w:eastAsia="zh-CN"/>
        </w:rPr>
        <w:t>approved by Inner Mongolia Agricultural University Animal Ethics Committee(12150000460029509N)</w:t>
      </w:r>
      <w:bookmarkStart w:id="5" w:name="_GoBack"/>
      <w:bookmarkEnd w:id="5"/>
      <w:r>
        <w:rPr>
          <w:rFonts w:hint="eastAsia" w:eastAsia="OneGulliver-ItalicA"/>
          <w:color w:val="000000"/>
        </w:rPr>
        <w:t>.</w:t>
      </w:r>
    </w:p>
    <w:p>
      <w:pPr>
        <w:spacing w:line="360" w:lineRule="auto"/>
        <w:jc w:val="left"/>
        <w:rPr>
          <w:b/>
          <w:bCs/>
        </w:rPr>
      </w:pPr>
      <w:r>
        <w:rPr>
          <w:b/>
          <w:bCs/>
        </w:rPr>
        <w:t xml:space="preserve">Study design </w:t>
      </w:r>
    </w:p>
    <w:p>
      <w:pPr>
        <w:spacing w:line="360" w:lineRule="auto"/>
        <w:ind w:firstLine="240" w:firstLineChars="100"/>
        <w:rPr>
          <w:color w:val="000000"/>
          <w:lang w:val="en-GB"/>
        </w:rPr>
      </w:pPr>
      <w:r>
        <w:rPr>
          <w:color w:val="000000"/>
          <w:lang w:val="en-GB"/>
        </w:rPr>
        <w:t xml:space="preserve">The CS and CA were both harvested from an Agricultural Field of Xiwuzhumuqin town, Xilinhot, China. </w:t>
      </w:r>
      <w:r>
        <w:rPr>
          <w:color w:val="000000"/>
        </w:rPr>
        <w:t>We had permission to use this field for our study, and all experiments were conducted in accordance with local legislation.</w:t>
      </w:r>
      <w:r>
        <w:rPr>
          <w:color w:val="000000"/>
          <w:lang w:val="en-GB"/>
        </w:rPr>
        <w:t xml:space="preserve">The CS at maturity stage was obtained at 5 d of field exposure after corn harvest, and the stovers were chopped into approximately 2 cm by a chopper (TS420; Qufu Machinery Equipment Co., Ltd., China). The CA at growth stage was obtained after 7 d of harvest, and the small branches and leaves were crushed to 4 mm with a crusher (FW100, Guangming Machine Co., Ltd, Beijing, China). The mixing ratio and chemical composition of </w:t>
      </w:r>
      <w:r>
        <w:rPr>
          <w:rFonts w:hint="eastAsia"/>
          <w:color w:val="000000"/>
          <w:lang w:val="en-GB"/>
        </w:rPr>
        <w:t>CS</w:t>
      </w:r>
      <w:r>
        <w:rPr>
          <w:color w:val="000000"/>
          <w:lang w:val="en-GB"/>
        </w:rPr>
        <w:t xml:space="preserve"> and CAare shown in Table 1. </w:t>
      </w:r>
    </w:p>
    <w:p>
      <w:pPr>
        <w:spacing w:line="360" w:lineRule="auto"/>
        <w:ind w:firstLine="240" w:firstLineChars="100"/>
        <w:rPr>
          <w:color w:val="000000"/>
        </w:rPr>
      </w:pPr>
      <w:r>
        <w:rPr>
          <w:color w:val="000000"/>
          <w:lang w:val="en-GB"/>
        </w:rPr>
        <w:t xml:space="preserve">Based on the feeding methods used on the Mongolian Plateau, the diets in this study were prepared from CS, CA, corn meal, sunflower cake, soybean cake, flaxseed cake, calcium bicarbonate, salt, and mineral-vitamin premix (Inner Mongolia Zheng Da, Hohhot, China). </w:t>
      </w:r>
      <w:r>
        <w:rPr>
          <w:color w:val="000000"/>
        </w:rPr>
        <w:t>The treatment diets contained similar concentrate mixtures and fine feed, but different pro-portions of CS and CA. The treatments were (1) corn stover (CS); (2) caragana (CA); (3) CS 80% + CA 20% (MT 1); (4) CS 50% + CA 50% (MT 2); (5) CS 20% + CA 80% (MT 3). The ration ingredient composition is shown in Table 2. T</w:t>
      </w:r>
      <w:r>
        <w:rPr>
          <w:rFonts w:hint="eastAsia"/>
          <w:color w:val="000000"/>
        </w:rPr>
        <w:t xml:space="preserve">he Table 2 contained the corn stover treatment (CST), caragana treatment(CAT), MT1, MT2 and MT3. </w:t>
      </w:r>
      <w:r>
        <w:rPr>
          <w:color w:val="000000"/>
        </w:rPr>
        <w:t>The roughage in the diet consisted of 20.66–82.64% CS on a DM basis, while the concentrate consisted of 9.97% corn grain, 0.99% sunflower cake, 1.66% Soybean cake, and 3.30% Flaxseed cake. The diet contained calcium bicarbonate, vitamin premix and mineral premix. T</w:t>
      </w:r>
      <w:r>
        <w:rPr>
          <w:rFonts w:hint="eastAsia"/>
          <w:color w:val="000000"/>
        </w:rPr>
        <w:t xml:space="preserve">he </w:t>
      </w:r>
      <w:r>
        <w:rPr>
          <w:color w:val="000000"/>
        </w:rPr>
        <w:t>Mineral-vitamin premix composition</w:t>
      </w:r>
      <w:r>
        <w:rPr>
          <w:rFonts w:hint="eastAsia"/>
          <w:color w:val="000000"/>
        </w:rPr>
        <w:t>were</w:t>
      </w:r>
      <w:r>
        <w:rPr>
          <w:color w:val="000000"/>
        </w:rPr>
        <w:t xml:space="preserve"> 2.4</w:t>
      </w:r>
      <w:r>
        <w:rPr>
          <w:rFonts w:eastAsia="微软雅黑"/>
          <w:color w:val="000000"/>
          <w:shd w:val="clear" w:color="auto" w:fill="FFFFFF"/>
        </w:rPr>
        <w:t>×</w:t>
      </w:r>
      <w:r>
        <w:rPr>
          <w:color w:val="000000"/>
        </w:rPr>
        <w:t>10</w:t>
      </w:r>
      <w:r>
        <w:rPr>
          <w:color w:val="000000"/>
          <w:vertAlign w:val="superscript"/>
        </w:rPr>
        <w:t xml:space="preserve">4 </w:t>
      </w:r>
      <w:r>
        <w:rPr>
          <w:color w:val="000000"/>
        </w:rPr>
        <w:t>mg/kg Fe; 7</w:t>
      </w:r>
      <w:r>
        <w:rPr>
          <w:rFonts w:eastAsia="微软雅黑"/>
          <w:color w:val="000000"/>
          <w:shd w:val="clear" w:color="auto" w:fill="FFFFFF"/>
        </w:rPr>
        <w:t>×</w:t>
      </w:r>
      <w:r>
        <w:rPr>
          <w:color w:val="000000"/>
        </w:rPr>
        <w:t>10</w:t>
      </w:r>
      <w:r>
        <w:rPr>
          <w:color w:val="000000"/>
          <w:vertAlign w:val="superscript"/>
        </w:rPr>
        <w:t xml:space="preserve">3 </w:t>
      </w:r>
      <w:r>
        <w:rPr>
          <w:color w:val="000000"/>
        </w:rPr>
        <w:t>mg/kg Cu,3</w:t>
      </w:r>
      <w:r>
        <w:rPr>
          <w:rFonts w:eastAsia="微软雅黑"/>
          <w:color w:val="000000"/>
          <w:shd w:val="clear" w:color="auto" w:fill="FFFFFF"/>
        </w:rPr>
        <w:t>×</w:t>
      </w:r>
      <w:r>
        <w:rPr>
          <w:color w:val="000000"/>
        </w:rPr>
        <w:t>10</w:t>
      </w:r>
      <w:r>
        <w:rPr>
          <w:color w:val="000000"/>
          <w:vertAlign w:val="superscript"/>
        </w:rPr>
        <w:t xml:space="preserve">4 </w:t>
      </w:r>
      <w:r>
        <w:rPr>
          <w:color w:val="000000"/>
        </w:rPr>
        <w:t>mg/kg Zn; 1.25</w:t>
      </w:r>
      <w:r>
        <w:rPr>
          <w:rFonts w:eastAsia="微软雅黑"/>
          <w:color w:val="000000"/>
          <w:shd w:val="clear" w:color="auto" w:fill="FFFFFF"/>
        </w:rPr>
        <w:t>×</w:t>
      </w:r>
      <w:r>
        <w:rPr>
          <w:color w:val="000000"/>
        </w:rPr>
        <w:t>10</w:t>
      </w:r>
      <w:r>
        <w:rPr>
          <w:color w:val="000000"/>
          <w:vertAlign w:val="superscript"/>
        </w:rPr>
        <w:t xml:space="preserve">4 </w:t>
      </w:r>
      <w:r>
        <w:rPr>
          <w:color w:val="000000"/>
        </w:rPr>
        <w:t>mg/kg Mn; 30 mg/kg I, 850 mg/kg Co</w:t>
      </w:r>
      <w:r>
        <w:rPr>
          <w:rFonts w:hint="eastAsia"/>
          <w:color w:val="000000"/>
        </w:rPr>
        <w:t xml:space="preserve">, </w:t>
      </w:r>
      <w:r>
        <w:rPr>
          <w:color w:val="000000"/>
        </w:rPr>
        <w:t>5</w:t>
      </w:r>
      <w:r>
        <w:rPr>
          <w:rFonts w:eastAsia="微软雅黑"/>
          <w:color w:val="000000"/>
          <w:shd w:val="clear" w:color="auto" w:fill="FFFFFF"/>
        </w:rPr>
        <w:t>×</w:t>
      </w:r>
      <w:r>
        <w:rPr>
          <w:color w:val="000000"/>
        </w:rPr>
        <w:t>10</w:t>
      </w:r>
      <w:r>
        <w:rPr>
          <w:color w:val="000000"/>
          <w:vertAlign w:val="superscript"/>
        </w:rPr>
        <w:t>8</w:t>
      </w:r>
      <w:r>
        <w:rPr>
          <w:color w:val="000000"/>
        </w:rPr>
        <w:t xml:space="preserve"> IU/kg Vitamin A and Vitamin D</w:t>
      </w:r>
      <w:r>
        <w:rPr>
          <w:color w:val="000000"/>
          <w:vertAlign w:val="subscript"/>
        </w:rPr>
        <w:t xml:space="preserve">3, </w:t>
      </w:r>
      <w:r>
        <w:rPr>
          <w:color w:val="000000"/>
        </w:rPr>
        <w:t>1</w:t>
      </w:r>
      <w:r>
        <w:rPr>
          <w:rFonts w:eastAsia="微软雅黑"/>
          <w:color w:val="000000"/>
          <w:shd w:val="clear" w:color="auto" w:fill="FFFFFF"/>
        </w:rPr>
        <w:t>×</w:t>
      </w:r>
      <w:r>
        <w:rPr>
          <w:color w:val="000000"/>
        </w:rPr>
        <w:t>10</w:t>
      </w:r>
      <w:r>
        <w:rPr>
          <w:color w:val="000000"/>
          <w:vertAlign w:val="superscript"/>
        </w:rPr>
        <w:t xml:space="preserve">8 </w:t>
      </w:r>
      <w:r>
        <w:rPr>
          <w:color w:val="000000"/>
        </w:rPr>
        <w:t>IU/kg.The diet was formulated to meet the nutritional requirements of Mongolian sheep [</w:t>
      </w:r>
      <w:r>
        <w:rPr>
          <w:rFonts w:hint="eastAsia"/>
          <w:color w:val="000000"/>
        </w:rPr>
        <w:t>35</w:t>
      </w:r>
      <w:r>
        <w:rPr>
          <w:color w:val="000000"/>
        </w:rPr>
        <w:t>].Five diets were formulated to meet the animals’ requirements for energy, protein, minerals, and vitamins based on Cornell-Penn-Miner [9]</w:t>
      </w:r>
    </w:p>
    <w:p>
      <w:pPr>
        <w:spacing w:line="360" w:lineRule="auto"/>
        <w:ind w:firstLine="240" w:firstLineChars="100"/>
        <w:rPr>
          <w:color w:val="000000"/>
        </w:rPr>
      </w:pPr>
      <w:r>
        <w:rPr>
          <w:color w:val="000000"/>
        </w:rPr>
        <w:t>Sixty healthy Aerbasi cashmere goats (BW = 30 ± 2.35</w:t>
      </w:r>
      <w:r>
        <w:rPr>
          <w:color w:val="000000"/>
          <w:lang w:val="en-GB"/>
        </w:rPr>
        <w:t xml:space="preserve"> kg</w:t>
      </w:r>
      <w:r>
        <w:rPr>
          <w:color w:val="000000"/>
        </w:rPr>
        <w:t>; mean ± SD) were used in a randomly experiment. Groups were balanced for parity and production during each period. The diet were assigned randomly to one of 5 groups (12 sheep/group) in a completely randomized design</w:t>
      </w:r>
      <w:r>
        <w:rPr>
          <w:color w:val="000000"/>
          <w:kern w:val="0"/>
        </w:rPr>
        <w:t>.</w:t>
      </w:r>
      <w:r>
        <w:rPr>
          <w:color w:val="000000"/>
        </w:rPr>
        <w:t xml:space="preserve"> They were penned individually in a well-ventilated shed that was cleaned weekly. Before starting the trial, all goats were vaccinated against clostridial diseases and treated for internal parasites. </w:t>
      </w:r>
      <w:r>
        <w:rPr>
          <w:rFonts w:eastAsia="WarnockPro-Regular"/>
          <w:color w:val="000000"/>
        </w:rPr>
        <w:t>The diet was provided with an allowable refusal level of 10% DM of the diet. The animals were fed the diets</w:t>
      </w:r>
      <w:r>
        <w:t>three times</w:t>
      </w:r>
      <w:r>
        <w:rPr>
          <w:rFonts w:eastAsia="WarnockPro-Regular"/>
        </w:rPr>
        <w:t xml:space="preserve"> a d</w:t>
      </w:r>
      <w:r>
        <w:t>ay</w:t>
      </w:r>
      <w:r>
        <w:rPr>
          <w:rFonts w:eastAsia="WarnockPro-Regular"/>
        </w:rPr>
        <w:t>at</w:t>
      </w:r>
      <w:r>
        <w:t xml:space="preserve"> 8:00, 13:00 </w:t>
      </w:r>
      <w:r>
        <w:rPr>
          <w:rFonts w:eastAsia="WarnockPro-Regular"/>
        </w:rPr>
        <w:t>and</w:t>
      </w:r>
      <w:r>
        <w:t xml:space="preserve"> 19:00, </w:t>
      </w:r>
      <w:r>
        <w:rPr>
          <w:rFonts w:eastAsia="WarnockPro-Regular"/>
        </w:rPr>
        <w:t>and c</w:t>
      </w:r>
      <w:r>
        <w:rPr>
          <w:rFonts w:eastAsia="GulliverRM"/>
        </w:rPr>
        <w:t>lean drinking water was available at all times.</w:t>
      </w:r>
      <w:r>
        <w:rPr>
          <w:rFonts w:eastAsia="GulliverRM"/>
          <w:color w:val="000000"/>
        </w:rPr>
        <w:t>After a 10 days adaptation period</w:t>
      </w:r>
      <w:r>
        <w:rPr>
          <w:rFonts w:hint="eastAsia" w:eastAsia="游明朝"/>
          <w:color w:val="000000"/>
          <w:lang w:eastAsia="ja-JP"/>
        </w:rPr>
        <w:t>,</w:t>
      </w:r>
      <w:r>
        <w:rPr>
          <w:rFonts w:eastAsia="GulliverRM"/>
          <w:color w:val="000000"/>
        </w:rPr>
        <w:t>the 45 days growth trial was started.</w:t>
      </w:r>
      <w:r>
        <w:rPr>
          <w:color w:val="000000"/>
        </w:rPr>
        <w:t xml:space="preserve"> Feed offered and feed residues were weighed daily along the growth trial to calculate the net intake of feed. The refused feed was collected daily, weighed, and individually bulked for analysis. Samples of the daily refusals from each animal and feed offered were dried at 105°C for 24 hours to determine the DM intake.</w:t>
      </w:r>
      <w:bookmarkStart w:id="0" w:name="OLE_LINK8"/>
      <w:bookmarkStart w:id="1" w:name="OLE_LINK7"/>
    </w:p>
    <w:p>
      <w:pPr>
        <w:spacing w:line="360" w:lineRule="auto"/>
        <w:jc w:val="left"/>
        <w:rPr>
          <w:b/>
          <w:bCs/>
        </w:rPr>
      </w:pPr>
      <w:r>
        <w:rPr>
          <w:b/>
          <w:bCs/>
        </w:rPr>
        <w:t>Digestibility trial</w:t>
      </w:r>
      <w:bookmarkEnd w:id="0"/>
      <w:bookmarkEnd w:id="1"/>
    </w:p>
    <w:p>
      <w:pPr>
        <w:spacing w:line="360" w:lineRule="auto"/>
        <w:rPr>
          <w:color w:val="000000"/>
        </w:rPr>
      </w:pPr>
      <w:r>
        <w:rPr>
          <w:color w:val="000000"/>
        </w:rPr>
        <w:t>When the growth trial experiment was completed, the apparent nutrient digestibility of the experimental diets was taken in animals in metabolic cages equipped with separate feeders, an automatic watering trough, and a system for the separate collection of feces and urine. Twelve goats (30 ± 2.35</w:t>
      </w:r>
      <w:r>
        <w:rPr>
          <w:color w:val="000000"/>
          <w:lang w:val="en-GB"/>
        </w:rPr>
        <w:t xml:space="preserve"> kg</w:t>
      </w:r>
      <w:r>
        <w:rPr>
          <w:color w:val="000000"/>
        </w:rPr>
        <w:t>) in each treatment were selected for the digestibility trial. The experiment consisted of 14 days of adaptation to the diet in individual stalls with a concrete floor, 2 days of adaptation to the fecal collection bags, and 5 days of feces collection. The bags (25 cm</w:t>
      </w:r>
      <w:r>
        <w:rPr>
          <w:color w:val="000000"/>
          <w:vertAlign w:val="superscript"/>
        </w:rPr>
        <w:t>2</w:t>
      </w:r>
      <w:r>
        <w:rPr>
          <w:color w:val="000000"/>
        </w:rPr>
        <w:t>) were made of nonwoven textile (100 g/m</w:t>
      </w:r>
      <w:r>
        <w:rPr>
          <w:color w:val="000000"/>
          <w:vertAlign w:val="superscript"/>
        </w:rPr>
        <w:t>2</w:t>
      </w:r>
      <w:r>
        <w:rPr>
          <w:color w:val="000000"/>
        </w:rPr>
        <w:t>) material and a sample weight to bag surface area ratio of 20 mg DM/cm</w:t>
      </w:r>
      <w:r>
        <w:rPr>
          <w:color w:val="000000"/>
          <w:vertAlign w:val="superscript"/>
        </w:rPr>
        <w:t>2</w:t>
      </w:r>
      <w:r>
        <w:rPr>
          <w:color w:val="000000"/>
        </w:rPr>
        <w:t xml:space="preserve"> was used. Offered and refused food were recorded daily and composite samples, pooled on an individual animal basis at the end of each collection period, were dried at 105°C for 24 hours to determine the DM intake. Another sample of the diet was ground in a hammer mill with a 1-mm screen and stored until analysis. Feces were collected daily and weighed and 20% of the total daily excretion was dried at 70°C for 48 hours and pooled on an individual animal basis at the end of the collection period. The daily spot urinary samples were collected for 2 h with bowls attached with a harness to each animal 4 h after the morning feeding. Ten ml urine sample was diluted with 40 ml of a 0.036 N H</w:t>
      </w:r>
      <w:r>
        <w:rPr>
          <w:color w:val="000000"/>
          <w:vertAlign w:val="subscript"/>
        </w:rPr>
        <w:t>2</w:t>
      </w:r>
      <w:r>
        <w:rPr>
          <w:color w:val="000000"/>
        </w:rPr>
        <w:t>SO</w:t>
      </w:r>
      <w:r>
        <w:rPr>
          <w:color w:val="000000"/>
          <w:vertAlign w:val="subscript"/>
        </w:rPr>
        <w:t>4</w:t>
      </w:r>
      <w:r>
        <w:rPr>
          <w:color w:val="000000"/>
        </w:rPr>
        <w:t xml:space="preserve"> solution and stored at –20°C for later analysis.</w:t>
      </w:r>
    </w:p>
    <w:p>
      <w:pPr>
        <w:spacing w:line="360" w:lineRule="auto"/>
        <w:jc w:val="left"/>
      </w:pPr>
    </w:p>
    <w:p>
      <w:pPr>
        <w:spacing w:line="360" w:lineRule="auto"/>
        <w:jc w:val="left"/>
        <w:rPr>
          <w:b/>
          <w:bCs/>
        </w:rPr>
      </w:pPr>
      <w:r>
        <w:rPr>
          <w:b/>
          <w:bCs/>
        </w:rPr>
        <w:t xml:space="preserve">Experimental procedures </w:t>
      </w:r>
    </w:p>
    <w:p>
      <w:pPr>
        <w:spacing w:line="360" w:lineRule="auto"/>
        <w:rPr>
          <w:color w:val="000000"/>
        </w:rPr>
      </w:pPr>
      <w:r>
        <w:rPr>
          <w:color w:val="000000"/>
        </w:rPr>
        <w:t xml:space="preserve">The feedstuff was recorded every day and it was weighed for 3 consecutive days to determine the dry matter intake (DMI), organic matter intake (OMI), crude protein intake (CPI), neutral detergent fiber intake (NDFI), acid detergent fiber intake (ADFI), acid detergent lignin intake (ADLI), half cellulose intake (HCI) and cellulose intake (CELI). The particle size of feedstuff was sampled by utilizing the Penn State Particle Separator as described . Apparent nutrient digestibility was calculated utilizing indigestible nutrition (12-d ruminal incubation in 25-µm-pore-size bags) as an internal marker , based on the concentration of indigestible nutrition in the diet. The pH was measured with a glass electrode pH meter (STARTER 100/B, OHAUS, </w:t>
      </w:r>
      <w:r>
        <w:t xml:space="preserve">Shanghai, </w:t>
      </w:r>
      <w:r>
        <w:rPr>
          <w:color w:val="000000"/>
        </w:rPr>
        <w:t>China), the ammonia-N content was analyzed by using steam distillation of the filtrates 23, the concentration of organic acid were measured by high performance liquid chromatography methods as described .</w:t>
      </w:r>
    </w:p>
    <w:p>
      <w:pPr>
        <w:autoSpaceDE w:val="0"/>
        <w:autoSpaceDN w:val="0"/>
        <w:adjustRightInd w:val="0"/>
        <w:spacing w:line="360" w:lineRule="auto"/>
        <w:jc w:val="thaiDistribute"/>
        <w:rPr>
          <w:color w:val="000000"/>
        </w:rPr>
      </w:pPr>
      <w:r>
        <w:rPr>
          <w:color w:val="000000"/>
        </w:rPr>
        <w:t xml:space="preserve">   Sample of feedstuff were dried for 48 h at 65</w:t>
      </w:r>
      <w:r>
        <w:rPr>
          <w:rFonts w:hAnsi="MS Mincho" w:eastAsia="MS Mincho"/>
          <w:color w:val="000000"/>
        </w:rPr>
        <w:t>℃</w:t>
      </w:r>
      <w:r>
        <w:rPr>
          <w:color w:val="000000"/>
        </w:rPr>
        <w:t xml:space="preserve"> in a forced-air oven and ground to pass through a 1-mm screen in a Wiley mill before analysis. The contents of organic matter (OM), crude protein (CP), neutral detergent fiber (NDF), acid detergent fiber (ADF), acid detergent lignin (ADL), half cellulose (HC) and cellulose (CEL) were tested in accordance with the reference of the AOAC International. The content of NDF, ADF, ADL, HC and CEL were analyzed according to the Ankom A200 fiber analyzer (Ankom Technology, Macedon, NY) by the method of Van Soest. </w:t>
      </w:r>
    </w:p>
    <w:p>
      <w:pPr>
        <w:spacing w:line="360" w:lineRule="auto"/>
        <w:jc w:val="left"/>
        <w:rPr>
          <w:b/>
          <w:bCs/>
        </w:rPr>
      </w:pPr>
      <w:r>
        <w:rPr>
          <w:b/>
          <w:bCs/>
        </w:rPr>
        <w:t>Experimental animals</w:t>
      </w:r>
      <w:r>
        <w:rPr>
          <w:rFonts w:hint="eastAsia"/>
          <w:b/>
          <w:bCs/>
        </w:rPr>
        <w:t>/Housing and husbandry/</w:t>
      </w:r>
      <w:r>
        <w:rPr>
          <w:b/>
          <w:bCs/>
        </w:rPr>
        <w:t xml:space="preserve">Sample size </w:t>
      </w:r>
    </w:p>
    <w:p>
      <w:pPr>
        <w:spacing w:line="360" w:lineRule="auto"/>
        <w:jc w:val="left"/>
        <w:rPr>
          <w:color w:val="000000"/>
        </w:rPr>
      </w:pPr>
      <w:r>
        <w:rPr>
          <w:rFonts w:hint="eastAsia"/>
          <w:color w:val="000000"/>
        </w:rPr>
        <w:t>The source of the animals used in</w:t>
      </w:r>
      <w:r>
        <w:rPr>
          <w:color w:val="000000"/>
        </w:rPr>
        <w:t xml:space="preserve"> experiments were </w:t>
      </w:r>
      <w:r>
        <w:rPr>
          <w:rFonts w:hint="eastAsia"/>
          <w:color w:val="000000"/>
        </w:rPr>
        <w:t>acquire</w:t>
      </w:r>
      <w:r>
        <w:rPr>
          <w:color w:val="000000"/>
        </w:rPr>
        <w:t>d by the Committee of Animal Experimentation and were performed under the institutionalguidelines for animal experiments of the College of Animal Science, Inner Mongolian Agricultural University, China.</w:t>
      </w:r>
    </w:p>
    <w:p>
      <w:pPr>
        <w:spacing w:line="360" w:lineRule="auto"/>
        <w:jc w:val="left"/>
        <w:rPr>
          <w:color w:val="000000"/>
        </w:rPr>
      </w:pPr>
      <w:r>
        <w:rPr>
          <w:color w:val="000000"/>
        </w:rPr>
        <w:t>Sixty healthy Aerbasi cashmere goats (BW = 30 ± 2.35</w:t>
      </w:r>
      <w:r>
        <w:rPr>
          <w:color w:val="000000"/>
          <w:lang w:val="en-GB"/>
        </w:rPr>
        <w:t xml:space="preserve"> kg</w:t>
      </w:r>
      <w:r>
        <w:rPr>
          <w:color w:val="000000"/>
        </w:rPr>
        <w:t>; mean ± SD) were used in a randomly experiment. Groups were balanced for parity and production during each period. The diet were assigned randomly to one of 5 groups (12 sheep/group) in a completely randomized design</w:t>
      </w:r>
      <w:r>
        <w:rPr>
          <w:color w:val="000000"/>
          <w:kern w:val="0"/>
        </w:rPr>
        <w:t>.</w:t>
      </w:r>
      <w:r>
        <w:rPr>
          <w:color w:val="000000"/>
        </w:rPr>
        <w:t xml:space="preserve"> They were penned individually in a well-ventilated shed that was cleaned weekly. Before starting the trial, all goats were vaccinated against clostridial diseases and treated for internal parasites. </w:t>
      </w:r>
      <w:r>
        <w:rPr>
          <w:rFonts w:eastAsia="WarnockPro-Regular"/>
          <w:color w:val="000000"/>
        </w:rPr>
        <w:t>The diet was provided with an allowable refusal level of 10% DM of the diet. The animals were fed the diets</w:t>
      </w:r>
      <w:r>
        <w:t>three times</w:t>
      </w:r>
      <w:r>
        <w:rPr>
          <w:rFonts w:eastAsia="WarnockPro-Regular"/>
        </w:rPr>
        <w:t xml:space="preserve"> a d</w:t>
      </w:r>
      <w:r>
        <w:t>ay</w:t>
      </w:r>
      <w:r>
        <w:rPr>
          <w:rFonts w:eastAsia="WarnockPro-Regular"/>
        </w:rPr>
        <w:t>at</w:t>
      </w:r>
      <w:r>
        <w:t xml:space="preserve"> 8:00, 13:00 </w:t>
      </w:r>
      <w:r>
        <w:rPr>
          <w:rFonts w:eastAsia="WarnockPro-Regular"/>
        </w:rPr>
        <w:t>and</w:t>
      </w:r>
      <w:r>
        <w:t xml:space="preserve"> 19:00, </w:t>
      </w:r>
      <w:r>
        <w:rPr>
          <w:rFonts w:eastAsia="WarnockPro-Regular"/>
        </w:rPr>
        <w:t>and c</w:t>
      </w:r>
      <w:r>
        <w:rPr>
          <w:rFonts w:eastAsia="GulliverRM"/>
        </w:rPr>
        <w:t>lean drinking water was available at all times.</w:t>
      </w:r>
      <w:r>
        <w:rPr>
          <w:rFonts w:eastAsia="GulliverRM"/>
          <w:color w:val="000000"/>
        </w:rPr>
        <w:t>After a 10 days adaptation period</w:t>
      </w:r>
      <w:r>
        <w:rPr>
          <w:rFonts w:hint="eastAsia" w:eastAsia="游明朝"/>
          <w:color w:val="000000"/>
          <w:lang w:eastAsia="ja-JP"/>
        </w:rPr>
        <w:t>,</w:t>
      </w:r>
      <w:r>
        <w:rPr>
          <w:rFonts w:eastAsia="GulliverRM"/>
          <w:color w:val="000000"/>
        </w:rPr>
        <w:t>the 45 days growth trial was started.</w:t>
      </w:r>
    </w:p>
    <w:p>
      <w:pPr>
        <w:spacing w:line="360" w:lineRule="auto"/>
        <w:jc w:val="left"/>
      </w:pPr>
      <w:r>
        <w:t xml:space="preserve">Allocating animals to experimental groups </w:t>
      </w:r>
    </w:p>
    <w:p>
      <w:pPr>
        <w:spacing w:line="360" w:lineRule="auto"/>
        <w:jc w:val="left"/>
        <w:rPr>
          <w:b/>
          <w:bCs/>
        </w:rPr>
      </w:pPr>
      <w:r>
        <w:rPr>
          <w:b/>
          <w:bCs/>
        </w:rPr>
        <w:t xml:space="preserve">Experimental outcomes </w:t>
      </w:r>
    </w:p>
    <w:p>
      <w:pPr>
        <w:spacing w:line="360" w:lineRule="auto"/>
        <w:jc w:val="left"/>
      </w:pPr>
      <w:r>
        <w:t xml:space="preserve">The nutritional quality and fermentation characteristics of </w:t>
      </w:r>
      <w:r>
        <w:rPr>
          <w:color w:val="000000"/>
        </w:rPr>
        <w:t xml:space="preserve">corn stover </w:t>
      </w:r>
      <w:r>
        <w:rPr>
          <w:rFonts w:hint="eastAsia"/>
          <w:color w:val="000000"/>
        </w:rPr>
        <w:t>,</w:t>
      </w:r>
      <w:r>
        <w:rPr>
          <w:color w:val="000000"/>
        </w:rPr>
        <w:t xml:space="preserve"> caragana</w:t>
      </w:r>
      <w:r>
        <w:rPr>
          <w:rFonts w:hint="eastAsia"/>
          <w:color w:val="000000"/>
        </w:rPr>
        <w:t>,</w:t>
      </w:r>
      <w:r>
        <w:rPr>
          <w:color w:val="000000"/>
        </w:rPr>
        <w:t>MT 1</w:t>
      </w:r>
      <w:r>
        <w:rPr>
          <w:rFonts w:hint="eastAsia"/>
          <w:color w:val="000000"/>
        </w:rPr>
        <w:t xml:space="preserve">, MT2, MT3 </w:t>
      </w:r>
      <w:r>
        <w:t>silage in rumen were determined</w:t>
      </w:r>
      <w:r>
        <w:rPr>
          <w:rFonts w:hint="eastAsia"/>
        </w:rPr>
        <w:t>.</w:t>
      </w:r>
    </w:p>
    <w:p>
      <w:pPr>
        <w:spacing w:line="360" w:lineRule="auto"/>
        <w:jc w:val="left"/>
        <w:rPr>
          <w:b/>
          <w:bCs/>
        </w:rPr>
      </w:pPr>
      <w:r>
        <w:rPr>
          <w:b/>
          <w:bCs/>
        </w:rPr>
        <w:t xml:space="preserve">Statistical methods </w:t>
      </w:r>
    </w:p>
    <w:p>
      <w:pPr>
        <w:spacing w:line="360" w:lineRule="auto"/>
        <w:rPr>
          <w:kern w:val="0"/>
        </w:rPr>
      </w:pPr>
      <w:r>
        <w:rPr>
          <w:kern w:val="0"/>
        </w:rPr>
        <w:t>Statistical analyses of chemical composition, i</w:t>
      </w:r>
      <w:r>
        <w:t>ntake</w:t>
      </w:r>
      <w:r>
        <w:rPr>
          <w:rFonts w:eastAsia="黑体"/>
        </w:rPr>
        <w:t>, apparent digestibility,</w:t>
      </w:r>
      <w:r>
        <w:t xml:space="preserve"> particle size distribution</w:t>
      </w:r>
      <w:r>
        <w:rPr>
          <w:kern w:val="0"/>
        </w:rPr>
        <w:t xml:space="preserve"> and fermentation were performed by one-way analysis of variance of S</w:t>
      </w:r>
      <w:r>
        <w:rPr>
          <w:rFonts w:hint="eastAsia"/>
          <w:kern w:val="0"/>
        </w:rPr>
        <w:t>AS</w:t>
      </w:r>
      <w:r>
        <w:rPr>
          <w:kern w:val="0"/>
        </w:rPr>
        <w:t xml:space="preserve"> (S</w:t>
      </w:r>
      <w:r>
        <w:rPr>
          <w:rFonts w:hint="eastAsia"/>
          <w:kern w:val="0"/>
        </w:rPr>
        <w:t>A</w:t>
      </w:r>
      <w:r>
        <w:rPr>
          <w:kern w:val="0"/>
        </w:rPr>
        <w:t xml:space="preserve">S </w:t>
      </w:r>
      <w:r>
        <w:rPr>
          <w:rFonts w:hint="eastAsia"/>
          <w:kern w:val="0"/>
        </w:rPr>
        <w:t>9</w:t>
      </w:r>
      <w:r>
        <w:rPr>
          <w:kern w:val="0"/>
        </w:rPr>
        <w:t>.0, S</w:t>
      </w:r>
      <w:r>
        <w:rPr>
          <w:rFonts w:hint="eastAsia"/>
          <w:kern w:val="0"/>
        </w:rPr>
        <w:t>A</w:t>
      </w:r>
      <w:r>
        <w:rPr>
          <w:kern w:val="0"/>
        </w:rPr>
        <w:t>S Inc. Chicago, USA) and the statistical model is: Y</w:t>
      </w:r>
      <w:r>
        <w:rPr>
          <w:kern w:val="0"/>
          <w:vertAlign w:val="subscript"/>
        </w:rPr>
        <w:t xml:space="preserve">ij </w:t>
      </w:r>
      <w:r>
        <w:rPr>
          <w:kern w:val="0"/>
        </w:rPr>
        <w:t>=μ+ T</w:t>
      </w:r>
      <w:r>
        <w:rPr>
          <w:kern w:val="0"/>
          <w:vertAlign w:val="subscript"/>
        </w:rPr>
        <w:t xml:space="preserve">i </w:t>
      </w:r>
      <w:r>
        <w:rPr>
          <w:kern w:val="0"/>
        </w:rPr>
        <w:t>+ E</w:t>
      </w:r>
      <w:r>
        <w:rPr>
          <w:kern w:val="0"/>
          <w:vertAlign w:val="subscript"/>
        </w:rPr>
        <w:t>ij</w:t>
      </w:r>
      <w:r>
        <w:rPr>
          <w:kern w:val="0"/>
        </w:rPr>
        <w:t>, where Y</w:t>
      </w:r>
      <w:r>
        <w:rPr>
          <w:kern w:val="0"/>
          <w:vertAlign w:val="subscript"/>
        </w:rPr>
        <w:t xml:space="preserve">ij </w:t>
      </w:r>
      <w:r>
        <w:rPr>
          <w:kern w:val="0"/>
        </w:rPr>
        <w:t>is observation for dependent variables, μis overall mean, T</w:t>
      </w:r>
      <w:r>
        <w:rPr>
          <w:kern w:val="0"/>
          <w:vertAlign w:val="subscript"/>
        </w:rPr>
        <w:t>i</w:t>
      </w:r>
      <w:r>
        <w:rPr>
          <w:kern w:val="0"/>
        </w:rPr>
        <w:t xml:space="preserve"> is effect of treatment, and E</w:t>
      </w:r>
      <w:r>
        <w:rPr>
          <w:kern w:val="0"/>
          <w:vertAlign w:val="subscript"/>
        </w:rPr>
        <w:t>ij</w:t>
      </w:r>
      <w:r>
        <w:rPr>
          <w:kern w:val="0"/>
        </w:rPr>
        <w:t xml:space="preserve"> is residual error. Statistical difference among means were tested by least significant difference multiple comparison</w:t>
      </w:r>
      <w:r>
        <w:rPr>
          <w:color w:val="000000"/>
        </w:rPr>
        <w:t>[</w:t>
      </w:r>
      <w:r>
        <w:rPr>
          <w:rFonts w:hint="eastAsia"/>
          <w:color w:val="000000"/>
        </w:rPr>
        <w:t>43</w:t>
      </w:r>
      <w:r>
        <w:rPr>
          <w:color w:val="000000"/>
        </w:rPr>
        <w:t>]</w:t>
      </w:r>
      <w:r>
        <w:rPr>
          <w:kern w:val="0"/>
        </w:rPr>
        <w:t>. Polynomial contrasts were used to test linear, quadratic and cubic responses to CS and CA mixture ratios</w:t>
      </w:r>
      <w:bookmarkStart w:id="2" w:name="OLE_LINK11"/>
      <w:bookmarkStart w:id="3" w:name="OLE_LINK26"/>
      <w:bookmarkStart w:id="4" w:name="OLE_LINK27"/>
      <w:r>
        <w:rPr>
          <w:kern w:val="0"/>
        </w:rPr>
        <w:t>.</w:t>
      </w:r>
      <w:bookmarkEnd w:id="2"/>
      <w:bookmarkEnd w:id="3"/>
      <w:bookmarkEnd w:id="4"/>
      <w:r>
        <w:rPr>
          <w:kern w:val="0"/>
        </w:rPr>
        <w:t xml:space="preserve"> The significant difference was declared at </w:t>
      </w:r>
      <w:r>
        <w:rPr>
          <w:i/>
          <w:kern w:val="0"/>
        </w:rPr>
        <w:t xml:space="preserve">P </w:t>
      </w:r>
      <w:r>
        <w:rPr>
          <w:kern w:val="0"/>
        </w:rPr>
        <w:t>&lt; 0.05.</w:t>
      </w:r>
    </w:p>
    <w:p>
      <w:pPr>
        <w:spacing w:line="360" w:lineRule="auto"/>
        <w:jc w:val="left"/>
        <w:rPr>
          <w:b/>
          <w:bCs/>
        </w:rPr>
      </w:pPr>
      <w:r>
        <w:rPr>
          <w:b/>
          <w:bCs/>
        </w:rPr>
        <w:t xml:space="preserve">RESULTS </w:t>
      </w:r>
    </w:p>
    <w:p>
      <w:pPr>
        <w:spacing w:line="360" w:lineRule="auto"/>
        <w:jc w:val="left"/>
        <w:rPr>
          <w:b/>
          <w:bCs/>
        </w:rPr>
      </w:pPr>
      <w:r>
        <w:rPr>
          <w:b/>
          <w:bCs/>
        </w:rPr>
        <w:t xml:space="preserve">Baseline data </w:t>
      </w:r>
    </w:p>
    <w:p>
      <w:pPr>
        <w:spacing w:line="360" w:lineRule="auto"/>
        <w:jc w:val="left"/>
      </w:pPr>
      <w:r>
        <w:t>All the health indexes before the sheep test were qualified</w:t>
      </w:r>
    </w:p>
    <w:p>
      <w:pPr>
        <w:spacing w:line="360" w:lineRule="auto"/>
        <w:jc w:val="left"/>
        <w:rPr>
          <w:b/>
          <w:bCs/>
        </w:rPr>
      </w:pPr>
      <w:r>
        <w:rPr>
          <w:b/>
          <w:bCs/>
        </w:rPr>
        <w:t xml:space="preserve">Numbers analysed </w:t>
      </w:r>
    </w:p>
    <w:p>
      <w:pPr>
        <w:spacing w:line="360" w:lineRule="auto"/>
        <w:rPr>
          <w:lang w:val="en-GB"/>
        </w:rPr>
      </w:pPr>
      <w:r>
        <w:rPr>
          <w:color w:val="000000"/>
          <w:lang w:val="en-GB"/>
        </w:rPr>
        <w:t xml:space="preserve">With an increased mixing ratio of CA, intake of DM, NDF, and </w:t>
      </w:r>
      <w:r>
        <w:rPr>
          <w:rFonts w:hint="eastAsia"/>
          <w:color w:val="000000"/>
          <w:lang w:val="en-GB"/>
        </w:rPr>
        <w:t xml:space="preserve">half </w:t>
      </w:r>
      <w:r>
        <w:rPr>
          <w:color w:val="000000"/>
          <w:lang w:val="en-GB"/>
        </w:rPr>
        <w:t>cellulose was decreased (</w:t>
      </w:r>
      <w:r>
        <w:rPr>
          <w:i/>
          <w:color w:val="000000"/>
          <w:lang w:val="en-GB"/>
        </w:rPr>
        <w:t>P</w:t>
      </w:r>
      <w:r>
        <w:rPr>
          <w:color w:val="000000"/>
          <w:lang w:val="en-GB"/>
        </w:rPr>
        <w:t>&lt;0.05). Meanwhile intake of CP, ADF, and acid detergent lignin (ADL) was increased (</w:t>
      </w:r>
      <w:r>
        <w:rPr>
          <w:i/>
          <w:color w:val="000000"/>
          <w:lang w:val="en-GB"/>
        </w:rPr>
        <w:t>P</w:t>
      </w:r>
      <w:r>
        <w:rPr>
          <w:color w:val="000000"/>
          <w:lang w:val="en-GB"/>
        </w:rPr>
        <w:t>&lt;0.05).</w:t>
      </w:r>
      <w:r>
        <w:rPr>
          <w:rFonts w:eastAsia="黑体"/>
          <w:color w:val="000000"/>
          <w:lang w:val="en-GB"/>
        </w:rPr>
        <w:t xml:space="preserve"> The apparent </w:t>
      </w:r>
      <w:r>
        <w:rPr>
          <w:color w:val="000000"/>
          <w:lang w:val="en-GB"/>
        </w:rPr>
        <w:t>digestibility of DM, organic matter (OM), and NDF in the CS treatment was higher (</w:t>
      </w:r>
      <w:r>
        <w:rPr>
          <w:i/>
          <w:color w:val="000000"/>
          <w:lang w:val="en-GB"/>
        </w:rPr>
        <w:t>P</w:t>
      </w:r>
      <w:r>
        <w:rPr>
          <w:color w:val="000000"/>
          <w:lang w:val="en-GB"/>
        </w:rPr>
        <w:t>&lt;0.05) than in the other treatments. Compared to the CS treatment, the proportion of particles ≤ 0.1 mm in size was significantly (</w:t>
      </w:r>
      <w:r>
        <w:rPr>
          <w:i/>
          <w:color w:val="000000"/>
          <w:lang w:val="en-GB"/>
        </w:rPr>
        <w:t>P</w:t>
      </w:r>
      <w:r>
        <w:rPr>
          <w:color w:val="000000"/>
          <w:lang w:val="en-GB"/>
        </w:rPr>
        <w:t>&lt;0.05) higher in the CA treatment, but this was not the case for particles &gt; 5.0 mm. With an increased mixing ratio of CA, the proportions of 0.5–1.0 and 1.0–5.0 mm particles decreased (</w:t>
      </w:r>
      <w:r>
        <w:rPr>
          <w:i/>
          <w:color w:val="000000"/>
          <w:lang w:val="en-GB"/>
        </w:rPr>
        <w:t>P</w:t>
      </w:r>
      <w:r>
        <w:rPr>
          <w:color w:val="000000"/>
          <w:lang w:val="en-GB"/>
        </w:rPr>
        <w:t xml:space="preserve">&lt;0.05), but the proportion of &gt; 5.0 mm particles did not. Meanwhile, the proportions of </w:t>
      </w:r>
      <w:r>
        <w:rPr>
          <w:color w:val="000000"/>
          <w:kern w:val="0"/>
        </w:rPr>
        <w:t>≤</w:t>
      </w:r>
      <w:r>
        <w:rPr>
          <w:color w:val="000000"/>
          <w:lang w:val="en-GB"/>
        </w:rPr>
        <w:t xml:space="preserve"> 0.1 and 0.1–0.5 mm particles increased (</w:t>
      </w:r>
      <w:r>
        <w:rPr>
          <w:i/>
          <w:color w:val="000000"/>
          <w:lang w:val="en-GB"/>
        </w:rPr>
        <w:t>P</w:t>
      </w:r>
      <w:r>
        <w:rPr>
          <w:color w:val="000000"/>
          <w:lang w:val="en-GB"/>
        </w:rPr>
        <w:t>&lt;0.05).</w:t>
      </w:r>
    </w:p>
    <w:p>
      <w:pPr>
        <w:spacing w:line="360" w:lineRule="auto"/>
        <w:jc w:val="left"/>
        <w:rPr>
          <w:b/>
          <w:bCs/>
        </w:rPr>
      </w:pPr>
      <w:r>
        <w:rPr>
          <w:b/>
          <w:bCs/>
        </w:rPr>
        <w:t xml:space="preserve">Outcomes and estimation </w:t>
      </w:r>
    </w:p>
    <w:p>
      <w:pPr>
        <w:spacing w:line="360" w:lineRule="auto"/>
        <w:rPr>
          <w:color w:val="000000"/>
        </w:rPr>
      </w:pPr>
      <w:r>
        <w:rPr>
          <w:color w:val="000000"/>
          <w:lang w:val="en-GB"/>
        </w:rPr>
        <w:t>Each result has been listed in tables 1 to 5 of the manuscript</w:t>
      </w:r>
      <w:r>
        <w:rPr>
          <w:rFonts w:hint="eastAsia"/>
          <w:color w:val="000000"/>
        </w:rPr>
        <w:t>,the significant difference was analyzed.</w:t>
      </w:r>
    </w:p>
    <w:p>
      <w:pPr>
        <w:spacing w:line="360" w:lineRule="auto"/>
        <w:jc w:val="left"/>
        <w:rPr>
          <w:b/>
          <w:bCs/>
        </w:rPr>
      </w:pPr>
      <w:r>
        <w:rPr>
          <w:b/>
          <w:bCs/>
        </w:rPr>
        <w:t xml:space="preserve">Adverse events </w:t>
      </w:r>
    </w:p>
    <w:p>
      <w:pPr>
        <w:spacing w:line="360" w:lineRule="auto"/>
        <w:jc w:val="left"/>
      </w:pPr>
      <w:r>
        <w:t>There was no adverse reaction after the test</w:t>
      </w:r>
    </w:p>
    <w:p>
      <w:pPr>
        <w:spacing w:line="360" w:lineRule="auto"/>
        <w:jc w:val="left"/>
        <w:rPr>
          <w:b/>
          <w:bCs/>
        </w:rPr>
      </w:pPr>
      <w:r>
        <w:rPr>
          <w:rFonts w:hint="eastAsia"/>
          <w:b/>
          <w:bCs/>
        </w:rPr>
        <w:t>DISCUSSION</w:t>
      </w:r>
    </w:p>
    <w:p>
      <w:pPr>
        <w:spacing w:line="360" w:lineRule="auto"/>
        <w:jc w:val="left"/>
        <w:rPr>
          <w:b/>
          <w:bCs/>
        </w:rPr>
      </w:pPr>
      <w:r>
        <w:rPr>
          <w:rFonts w:hint="eastAsia"/>
          <w:b/>
          <w:bCs/>
        </w:rPr>
        <w:t>Interpertation/scientific implications</w:t>
      </w:r>
      <w:r>
        <w:rPr>
          <w:rFonts w:hint="eastAsia"/>
          <w:b/>
          <w:bCs/>
        </w:rPr>
        <w:tab/>
      </w:r>
    </w:p>
    <w:p>
      <w:pPr>
        <w:tabs>
          <w:tab w:val="center" w:pos="4156"/>
        </w:tabs>
        <w:spacing w:line="360" w:lineRule="auto"/>
      </w:pPr>
      <w:r>
        <w:t>By improving and regulating the fermentation environment in rumen of ruminants through dietary combination or nutritional supplementation, the unique digestive and physiological potential of ruminants can be brought into play and the utilization efficiency of rouges can be improved to a great extent. At present, farmers and herdsmen in desert steppe mainly feed their livestock with corn straw as the main rouge during the period of rest and prohibition. The purpose of this study was to determine whether the substitution of caragana, caragana and poplar leaves for corn straw could improve the fermentation environment in the rumen of cashmere goats and improve the utilization rate of coarse feed</w:t>
      </w:r>
    </w:p>
    <w:p>
      <w:pPr>
        <w:spacing w:line="360" w:lineRule="auto"/>
        <w:jc w:val="left"/>
        <w:rPr>
          <w:b/>
          <w:bCs/>
        </w:rPr>
      </w:pPr>
      <w:r>
        <w:rPr>
          <w:b/>
          <w:bCs/>
        </w:rPr>
        <w:t>Comment on whether, and how</w:t>
      </w:r>
    </w:p>
    <w:p>
      <w:pPr>
        <w:spacing w:line="360" w:lineRule="auto"/>
        <w:jc w:val="left"/>
      </w:pPr>
      <w:r>
        <w:t>At present, only the digestion of animals has been studied. If human digestion test needs to be carried out, relevant institutions can be contacted for follow-up research</w:t>
      </w:r>
      <w:r>
        <w:rPr>
          <w:rFonts w:hint="eastAsia"/>
        </w:rPr>
        <w:t>.</w:t>
      </w:r>
    </w:p>
    <w:p>
      <w:pPr>
        <w:spacing w:line="360" w:lineRule="auto"/>
        <w:jc w:val="left"/>
        <w:rPr>
          <w:b/>
          <w:bCs/>
        </w:rPr>
      </w:pPr>
      <w:r>
        <w:rPr>
          <w:b/>
          <w:bCs/>
        </w:rPr>
        <w:t xml:space="preserve">Funding </w:t>
      </w:r>
    </w:p>
    <w:p>
      <w:pPr>
        <w:spacing w:line="360" w:lineRule="auto"/>
        <w:rPr>
          <w:rStyle w:val="12"/>
        </w:rPr>
      </w:pPr>
      <w:r>
        <w:rPr>
          <w:rStyle w:val="12"/>
          <w:color w:val="000000"/>
          <w:lang w:val="en-GB"/>
        </w:rPr>
        <w:t>This study was supported by “Study on Restoration of Degraded Grassland and Precision Management of Family Farm in Mesophilic Desert Steppe” (2016YFC0500504)</w:t>
      </w:r>
      <w:r>
        <w:rPr>
          <w:rStyle w:val="12"/>
          <w:rFonts w:hint="eastAsia"/>
          <w:color w:val="000000"/>
        </w:rPr>
        <w:t xml:space="preserve"> which leader was Han guodong, and he was not listed in the author list, and he was mainly responsible for the preparation ,revised and publish fees.And </w:t>
      </w:r>
      <w:r>
        <w:rPr>
          <w:rStyle w:val="12"/>
          <w:color w:val="000000"/>
          <w:lang w:val="en-GB"/>
        </w:rPr>
        <w:t>Ministry of Science and Technology, China and project “China Agriculture Research System” (CARS-34), Ministry of Agriculture</w:t>
      </w:r>
      <w:r>
        <w:rPr>
          <w:rStyle w:val="12"/>
          <w:rFonts w:hint="eastAsia"/>
          <w:color w:val="000000"/>
        </w:rPr>
        <w:t xml:space="preserve">, was another funding, and the leader of this program was Ge gentu, .and he joined in the progress of design and conducting of experiments. </w:t>
      </w:r>
    </w:p>
    <w:p>
      <w:pPr>
        <w:spacing w:line="360" w:lineRule="auto"/>
        <w:jc w:val="left"/>
      </w:pPr>
    </w:p>
    <w:sectPr>
      <w:footerReference r:id="rId3" w:type="default"/>
      <w:pgSz w:w="11906" w:h="16838"/>
      <w:pgMar w:top="1440" w:right="1797" w:bottom="1440" w:left="1797" w:header="851" w:footer="992" w:gutter="0"/>
      <w:lnNumType w:countBy="1" w:restart="continuous"/>
      <w:cols w:space="720" w:num="1"/>
      <w:docGrid w:type="lines" w:linePitch="332" w:charSpace="8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DengXian">
    <w:altName w:val="微软雅黑"/>
    <w:panose1 w:val="00000000000000000000"/>
    <w:charset w:val="86"/>
    <w:family w:val="auto"/>
    <w:pitch w:val="default"/>
    <w:sig w:usb0="00000000" w:usb1="00000000" w:usb2="00000016" w:usb3="00000000" w:csb0="0004000F" w:csb1="00000000"/>
  </w:font>
  <w:font w:name="ComputerModern-Regular">
    <w:altName w:val="Meiryo"/>
    <w:panose1 w:val="00000000000000000000"/>
    <w:charset w:val="80"/>
    <w:family w:val="auto"/>
    <w:pitch w:val="default"/>
    <w:sig w:usb0="00000000" w:usb1="00000000" w:usb2="00000010" w:usb3="00000000" w:csb0="00020000" w:csb1="00000000"/>
  </w:font>
  <w:font w:name="游明朝">
    <w:altName w:val="Meiryo"/>
    <w:panose1 w:val="00000000000000000000"/>
    <w:charset w:val="80"/>
    <w:family w:val="roman"/>
    <w:pitch w:val="default"/>
    <w:sig w:usb0="00000000" w:usb1="00000000" w:usb2="00000012" w:usb3="00000000" w:csb0="0002009F" w:csb1="00000000"/>
  </w:font>
  <w:font w:name="GulliverRM">
    <w:altName w:val="宋体"/>
    <w:panose1 w:val="00000000000000000000"/>
    <w:charset w:val="86"/>
    <w:family w:val="auto"/>
    <w:pitch w:val="default"/>
    <w:sig w:usb0="00000000" w:usb1="00000000" w:usb2="00000010" w:usb3="00000000" w:csb0="00040000" w:csb1="00000000"/>
  </w:font>
  <w:font w:name="OneGulliver-ItalicA">
    <w:altName w:val="宋体"/>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WarnockPro-Regular">
    <w:altName w:val="Meiryo"/>
    <w:panose1 w:val="00000000000000000000"/>
    <w:charset w:val="80"/>
    <w:family w:val="auto"/>
    <w:pitch w:val="default"/>
    <w:sig w:usb0="00000000" w:usb1="00000000" w:usb2="00000010" w:usb3="00000000" w:csb0="00020000" w:csb1="00000000"/>
  </w:font>
  <w:font w:name="MS Mincho">
    <w:panose1 w:val="02020609040205080304"/>
    <w:charset w:val="80"/>
    <w:family w:val="modern"/>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PAGE   \* MERGEFORMAT</w:instrText>
    </w:r>
    <w:r>
      <w:fldChar w:fldCharType="separate"/>
    </w:r>
    <w:r>
      <w:rPr>
        <w:lang w:val="ja-JP" w:eastAsia="ja-JP"/>
      </w:rPr>
      <w:t>5</w:t>
    </w:r>
    <w:r>
      <w:fldChar w:fldCharType="end"/>
    </w:r>
  </w:p>
  <w:p>
    <w:pPr>
      <w:pStyle w:val="3"/>
    </w:pPr>
  </w:p>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726721"/>
    <w:rsid w:val="00726721"/>
    <w:rsid w:val="009073D6"/>
    <w:rsid w:val="00A4405E"/>
    <w:rsid w:val="1EFF31AA"/>
    <w:rsid w:val="3A6048A0"/>
    <w:rsid w:val="41D7664B"/>
    <w:rsid w:val="43F02B1A"/>
    <w:rsid w:val="68390201"/>
    <w:rsid w:val="7BF92DD6"/>
    <w:rsid w:val="7D052FE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unhideWhenUsed/>
    <w:qFormat/>
    <w:uiPriority w:val="99"/>
  </w:style>
  <w:style w:type="paragraph" w:styleId="3">
    <w:name w:val="footer"/>
    <w:basedOn w:val="1"/>
    <w:unhideWhenUsed/>
    <w:qFormat/>
    <w:uiPriority w:val="99"/>
    <w:pPr>
      <w:tabs>
        <w:tab w:val="center" w:pos="4252"/>
        <w:tab w:val="right" w:pos="8504"/>
      </w:tabs>
      <w:snapToGrid w:val="0"/>
    </w:pPr>
  </w:style>
  <w:style w:type="paragraph" w:styleId="4">
    <w:name w:val="HTML Preformatted"/>
    <w:basedOn w:val="1"/>
    <w:link w:val="15"/>
    <w:unhideWhenUsed/>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rPr>
  </w:style>
  <w:style w:type="paragraph" w:styleId="5">
    <w:name w:val="Body Text First Indent"/>
    <w:basedOn w:val="2"/>
    <w:unhideWhenUsed/>
    <w:qFormat/>
    <w:uiPriority w:val="99"/>
    <w:pPr>
      <w:widowControl/>
      <w:spacing w:line="480" w:lineRule="auto"/>
      <w:ind w:firstLine="709"/>
      <w:jc w:val="left"/>
    </w:pPr>
    <w:rPr>
      <w:rFonts w:eastAsia="DengXian"/>
      <w:lang w:eastAsia="en-US"/>
    </w:rPr>
  </w:style>
  <w:style w:type="character" w:styleId="8">
    <w:name w:val="Emphasis"/>
    <w:qFormat/>
    <w:uiPriority w:val="0"/>
    <w:rPr>
      <w:b/>
      <w:bCs/>
    </w:rPr>
  </w:style>
  <w:style w:type="character" w:styleId="9">
    <w:name w:val="line number"/>
    <w:basedOn w:val="7"/>
    <w:uiPriority w:val="0"/>
  </w:style>
  <w:style w:type="paragraph" w:customStyle="1" w:styleId="10">
    <w:name w:val="无间隔1"/>
    <w:qFormat/>
    <w:uiPriority w:val="1"/>
    <w:pPr>
      <w:widowControl w:val="0"/>
      <w:jc w:val="both"/>
    </w:pPr>
    <w:rPr>
      <w:rFonts w:ascii="Times New Roman" w:hAnsi="Times New Roman" w:eastAsia="宋体" w:cs="Times New Roman"/>
      <w:kern w:val="2"/>
      <w:sz w:val="24"/>
      <w:szCs w:val="24"/>
      <w:lang w:val="en-US" w:eastAsia="zh-CN" w:bidi="ar-SA"/>
    </w:rPr>
  </w:style>
  <w:style w:type="paragraph" w:customStyle="1" w:styleId="11">
    <w:name w:val="xl26"/>
    <w:basedOn w:val="1"/>
    <w:qFormat/>
    <w:uiPriority w:val="0"/>
    <w:pPr>
      <w:widowControl/>
      <w:spacing w:before="100" w:beforeAutospacing="1" w:after="100" w:afterAutospacing="1"/>
    </w:pPr>
    <w:rPr>
      <w:rFonts w:ascii="宋体" w:hAnsi="宋体"/>
      <w:kern w:val="0"/>
      <w:sz w:val="18"/>
      <w:szCs w:val="18"/>
    </w:rPr>
  </w:style>
  <w:style w:type="character" w:customStyle="1" w:styleId="12">
    <w:name w:val="hps"/>
    <w:uiPriority w:val="99"/>
    <w:rPr>
      <w:rFonts w:cs="Times New Roman"/>
    </w:rPr>
  </w:style>
  <w:style w:type="character" w:customStyle="1" w:styleId="13">
    <w:name w:val="short_text"/>
    <w:uiPriority w:val="0"/>
  </w:style>
  <w:style w:type="character" w:customStyle="1" w:styleId="14">
    <w:name w:val="st1"/>
    <w:uiPriority w:val="0"/>
  </w:style>
  <w:style w:type="character" w:customStyle="1" w:styleId="15">
    <w:name w:val="HTML 预设格式 Char"/>
    <w:basedOn w:val="7"/>
    <w:link w:val="4"/>
    <w:uiPriority w:val="0"/>
    <w:rPr>
      <w:rFonts w:ascii="宋体" w:hAnsi="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10</Pages>
  <Words>2796</Words>
  <Characters>15942</Characters>
  <Lines>132</Lines>
  <Paragraphs>37</Paragraphs>
  <TotalTime>6</TotalTime>
  <ScaleCrop>false</ScaleCrop>
  <LinksUpToDate>false</LinksUpToDate>
  <CharactersWithSpaces>18701</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2019-12-18T11:15:08Z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